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FDC" w:rsidRPr="004452E1" w:rsidRDefault="001E1FDC" w:rsidP="001E1FDC">
      <w:pPr>
        <w:pStyle w:val="Title"/>
        <w:jc w:val="left"/>
        <w:rPr>
          <w:b/>
          <w:bCs/>
          <w:color w:val="8496B0"/>
          <w:sz w:val="22"/>
          <w:lang w:val="en-US"/>
        </w:rPr>
      </w:pPr>
      <w:r>
        <w:rPr>
          <w:noProof/>
          <w:lang w:val="id-ID" w:eastAsia="id-ID"/>
        </w:rPr>
        <w:drawing>
          <wp:anchor distT="0" distB="0" distL="114300" distR="114300" simplePos="0" relativeHeight="251660288" behindDoc="1" locked="0" layoutInCell="1" allowOverlap="1" wp14:anchorId="1A604121" wp14:editId="79AF4A07">
            <wp:simplePos x="0" y="0"/>
            <wp:positionH relativeFrom="margin">
              <wp:posOffset>-27940</wp:posOffset>
            </wp:positionH>
            <wp:positionV relativeFrom="paragraph">
              <wp:posOffset>143510</wp:posOffset>
            </wp:positionV>
            <wp:extent cx="902335" cy="902335"/>
            <wp:effectExtent l="0" t="0" r="0" b="0"/>
            <wp:wrapNone/>
            <wp:docPr id="1" name="Picture 1" descr="Description: Description: ../../Users/designer/Desktop/FOTO%20TN/Logo/Logo%20Kemen%20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Users/designer/Desktop/FOTO%20TN/Logo/Logo%20Kemen%20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2335" cy="90233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color w:val="8496B0"/>
          <w:sz w:val="22"/>
          <w:lang w:val="en-US"/>
        </w:rPr>
        <w:t xml:space="preserve">  </w:t>
      </w:r>
    </w:p>
    <w:p w:rsidR="001E1FDC" w:rsidRPr="000971B8" w:rsidRDefault="001E1FDC" w:rsidP="001E1FDC">
      <w:pPr>
        <w:pStyle w:val="Title"/>
        <w:rPr>
          <w:b/>
          <w:bCs/>
          <w:color w:val="000000"/>
          <w:sz w:val="22"/>
          <w:lang w:val="id-ID"/>
        </w:rPr>
      </w:pPr>
      <w:r w:rsidRPr="000971B8">
        <w:rPr>
          <w:b/>
          <w:bCs/>
          <w:color w:val="000000"/>
          <w:sz w:val="22"/>
        </w:rPr>
        <w:t xml:space="preserve"> </w:t>
      </w:r>
      <w:r w:rsidRPr="000971B8">
        <w:rPr>
          <w:b/>
          <w:bCs/>
          <w:color w:val="000000"/>
          <w:sz w:val="22"/>
        </w:rPr>
        <w:tab/>
      </w:r>
      <w:r w:rsidRPr="000971B8">
        <w:rPr>
          <w:b/>
          <w:bCs/>
          <w:color w:val="000000"/>
          <w:sz w:val="22"/>
          <w:lang w:val="id-ID"/>
        </w:rPr>
        <w:t>KEMENTERIAN LINGKUNGAN HIDUP DAN KEHUTANAN</w:t>
      </w:r>
    </w:p>
    <w:p w:rsidR="001E1FDC" w:rsidRPr="000971B8" w:rsidRDefault="001E1FDC" w:rsidP="001E1FDC">
      <w:pPr>
        <w:pStyle w:val="Title"/>
        <w:ind w:firstLine="720"/>
        <w:rPr>
          <w:b/>
          <w:bCs/>
          <w:color w:val="000000"/>
          <w:sz w:val="44"/>
          <w:szCs w:val="44"/>
          <w:lang w:val="id-ID"/>
        </w:rPr>
      </w:pPr>
      <w:r w:rsidRPr="000971B8">
        <w:rPr>
          <w:b/>
          <w:bCs/>
          <w:color w:val="000000"/>
          <w:sz w:val="44"/>
          <w:szCs w:val="44"/>
          <w:lang w:val="id-ID"/>
        </w:rPr>
        <w:t>SEKRETARIAT JENDERAL</w:t>
      </w:r>
    </w:p>
    <w:p w:rsidR="001E1FDC" w:rsidRPr="000971B8" w:rsidRDefault="001E1FDC" w:rsidP="001E1FDC">
      <w:pPr>
        <w:spacing w:after="0" w:line="240" w:lineRule="auto"/>
        <w:ind w:firstLine="720"/>
        <w:jc w:val="center"/>
        <w:rPr>
          <w:color w:val="000000"/>
        </w:rPr>
      </w:pPr>
      <w:r w:rsidRPr="000971B8">
        <w:rPr>
          <w:color w:val="000000"/>
        </w:rPr>
        <w:t>Gedung Manggala Wanabakti, Blok 1 Lantai 1 Jalan Gatot Subroto,</w:t>
      </w:r>
      <w:r w:rsidRPr="00E61480">
        <w:rPr>
          <w:color w:val="000000"/>
          <w:sz w:val="16"/>
          <w:szCs w:val="16"/>
        </w:rPr>
        <w:t>y</w:t>
      </w:r>
      <w:r w:rsidRPr="000971B8">
        <w:rPr>
          <w:color w:val="000000"/>
        </w:rPr>
        <w:t xml:space="preserve"> Jakarta 10270</w:t>
      </w:r>
    </w:p>
    <w:p w:rsidR="001E1FDC" w:rsidRPr="000971B8" w:rsidRDefault="001E1FDC" w:rsidP="001E1FDC">
      <w:pPr>
        <w:spacing w:after="0" w:line="240" w:lineRule="auto"/>
        <w:ind w:firstLine="720"/>
        <w:jc w:val="center"/>
        <w:rPr>
          <w:color w:val="000000"/>
        </w:rPr>
      </w:pPr>
      <w:r w:rsidRPr="000971B8">
        <w:rPr>
          <w:color w:val="000000"/>
        </w:rPr>
        <w:t>Telepon : 021-5705</w:t>
      </w:r>
      <w:r>
        <w:rPr>
          <w:color w:val="000000"/>
        </w:rPr>
        <w:t>099, 5730118-9 Faximile 5710484</w:t>
      </w:r>
    </w:p>
    <w:p w:rsidR="001E1FDC" w:rsidRPr="000971B8" w:rsidRDefault="001E1FDC" w:rsidP="001E1FDC">
      <w:pPr>
        <w:spacing w:after="0" w:line="240" w:lineRule="auto"/>
        <w:jc w:val="center"/>
        <w:rPr>
          <w:rFonts w:ascii="Tahoma" w:hAnsi="Tahoma" w:cs="Tahoma"/>
          <w:b/>
          <w:color w:val="000000"/>
        </w:rPr>
      </w:pPr>
    </w:p>
    <w:p w:rsidR="001E1FDC" w:rsidRPr="00913C5D" w:rsidRDefault="001E1FDC" w:rsidP="001E1FDC">
      <w:pPr>
        <w:spacing w:after="0" w:line="240" w:lineRule="auto"/>
        <w:jc w:val="center"/>
        <w:rPr>
          <w:rFonts w:ascii="Tahoma" w:hAnsi="Tahoma" w:cs="Tahoma"/>
          <w:b/>
          <w:color w:val="000000"/>
          <w:sz w:val="6"/>
          <w:szCs w:val="6"/>
        </w:rPr>
      </w:pPr>
      <w:r>
        <w:rPr>
          <w:noProof/>
          <w:lang w:eastAsia="id-ID"/>
        </w:rPr>
        <mc:AlternateContent>
          <mc:Choice Requires="wps">
            <w:drawing>
              <wp:anchor distT="4294967289" distB="4294967289" distL="114300" distR="114300" simplePos="0" relativeHeight="251659264" behindDoc="0" locked="0" layoutInCell="1" allowOverlap="1" wp14:anchorId="54B7F3D7" wp14:editId="30125E57">
                <wp:simplePos x="0" y="0"/>
                <wp:positionH relativeFrom="column">
                  <wp:posOffset>-28575</wp:posOffset>
                </wp:positionH>
                <wp:positionV relativeFrom="paragraph">
                  <wp:posOffset>8254</wp:posOffset>
                </wp:positionV>
                <wp:extent cx="6273800" cy="0"/>
                <wp:effectExtent l="0" t="19050" r="50800" b="381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738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y;z-index:251659264;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2.25pt,.65pt" to="491.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" strokeweight="4.5pt">
                <v:stroke linestyle="thinThick"/>
              </v:line>
            </w:pict>
          </mc:Fallback>
        </mc:AlternateContent>
      </w:r>
    </w:p>
    <w:p w:rsidR="001E1FDC" w:rsidRPr="00467D27" w:rsidRDefault="001E1FDC" w:rsidP="001E1FDC">
      <w:pPr>
        <w:pStyle w:val="NoSpacing"/>
        <w:jc w:val="center"/>
        <w:rPr>
          <w:rFonts w:ascii="Tahoma" w:hAnsi="Tahoma" w:cs="Tahoma"/>
          <w:b/>
          <w:sz w:val="24"/>
          <w:szCs w:val="24"/>
        </w:rPr>
      </w:pPr>
      <w:r w:rsidRPr="00467D27">
        <w:rPr>
          <w:rFonts w:ascii="Tahoma" w:hAnsi="Tahoma" w:cs="Tahoma"/>
          <w:b/>
          <w:sz w:val="24"/>
          <w:szCs w:val="24"/>
        </w:rPr>
        <w:t>SIARAN PERS</w:t>
      </w:r>
    </w:p>
    <w:p w:rsidR="001E1FDC" w:rsidRDefault="001E1FDC" w:rsidP="001E1FDC">
      <w:pPr>
        <w:pStyle w:val="NoSpacing"/>
        <w:jc w:val="center"/>
        <w:rPr>
          <w:rFonts w:ascii="Tahoma" w:hAnsi="Tahoma" w:cs="Tahoma"/>
          <w:sz w:val="24"/>
          <w:szCs w:val="24"/>
        </w:rPr>
      </w:pPr>
      <w:r>
        <w:rPr>
          <w:rFonts w:ascii="Tahoma" w:hAnsi="Tahoma" w:cs="Tahoma"/>
          <w:sz w:val="24"/>
          <w:szCs w:val="24"/>
        </w:rPr>
        <w:t xml:space="preserve">Nomor : SP. </w:t>
      </w:r>
      <w:r w:rsidR="00B94CA1">
        <w:rPr>
          <w:rFonts w:ascii="Tahoma" w:hAnsi="Tahoma" w:cs="Tahoma"/>
          <w:sz w:val="24"/>
          <w:szCs w:val="24"/>
        </w:rPr>
        <w:t>410</w:t>
      </w:r>
      <w:r>
        <w:rPr>
          <w:rFonts w:ascii="Tahoma" w:hAnsi="Tahoma" w:cs="Tahoma"/>
          <w:sz w:val="24"/>
          <w:szCs w:val="24"/>
        </w:rPr>
        <w:t xml:space="preserve"> /HUMAS/PP/HMS.3/12</w:t>
      </w:r>
      <w:r w:rsidRPr="00724159">
        <w:rPr>
          <w:rFonts w:ascii="Tahoma" w:hAnsi="Tahoma" w:cs="Tahoma"/>
          <w:sz w:val="24"/>
          <w:szCs w:val="24"/>
        </w:rPr>
        <w:t>/2017</w:t>
      </w:r>
    </w:p>
    <w:p w:rsidR="001E1FDC" w:rsidRDefault="001E1FDC" w:rsidP="001E1FDC">
      <w:pPr>
        <w:pStyle w:val="NoSpacing"/>
        <w:jc w:val="center"/>
        <w:rPr>
          <w:rFonts w:ascii="Tahoma" w:hAnsi="Tahoma" w:cs="Tahoma"/>
          <w:sz w:val="24"/>
          <w:szCs w:val="24"/>
        </w:rPr>
      </w:pPr>
    </w:p>
    <w:p w:rsidR="001265E2" w:rsidRDefault="00B94CA1" w:rsidP="00B94CA1">
      <w:pPr>
        <w:pStyle w:val="HTMLPreformatted"/>
        <w:shd w:val="clear" w:color="auto" w:fill="FFFFFF"/>
        <w:jc w:val="center"/>
        <w:rPr>
          <w:rFonts w:ascii="Tahoma" w:hAnsi="Tahoma" w:cs="Tahoma"/>
          <w:b/>
          <w:sz w:val="22"/>
          <w:szCs w:val="22"/>
          <w:lang w:val="id-ID"/>
        </w:rPr>
      </w:pPr>
      <w:bookmarkStart w:id="0" w:name="_GoBack"/>
      <w:r w:rsidRPr="00B94CA1">
        <w:rPr>
          <w:rFonts w:ascii="Tahoma" w:hAnsi="Tahoma" w:cs="Tahoma"/>
          <w:b/>
          <w:sz w:val="22"/>
          <w:szCs w:val="22"/>
          <w:lang w:val="id-ID"/>
        </w:rPr>
        <w:t>Partisipasi Perusahaan Da</w:t>
      </w:r>
      <w:r>
        <w:rPr>
          <w:rFonts w:ascii="Tahoma" w:hAnsi="Tahoma" w:cs="Tahoma"/>
          <w:b/>
          <w:sz w:val="22"/>
          <w:szCs w:val="22"/>
          <w:lang w:val="id-ID"/>
        </w:rPr>
        <w:t>lam Pencegahan Kebakaran Hutan d</w:t>
      </w:r>
      <w:r w:rsidRPr="00B94CA1">
        <w:rPr>
          <w:rFonts w:ascii="Tahoma" w:hAnsi="Tahoma" w:cs="Tahoma"/>
          <w:b/>
          <w:sz w:val="22"/>
          <w:szCs w:val="22"/>
          <w:lang w:val="id-ID"/>
        </w:rPr>
        <w:t>an Lahan Harus Meningkat</w:t>
      </w:r>
    </w:p>
    <w:bookmarkEnd w:id="0"/>
    <w:p w:rsidR="00B94CA1" w:rsidRPr="00F220B1" w:rsidRDefault="00B94CA1" w:rsidP="001E1FDC">
      <w:pPr>
        <w:pStyle w:val="HTMLPreformatted"/>
        <w:shd w:val="clear" w:color="auto" w:fill="FFFFFF"/>
        <w:jc w:val="both"/>
        <w:rPr>
          <w:rFonts w:ascii="Tahoma" w:hAnsi="Tahoma" w:cs="Tahoma"/>
          <w:b/>
          <w:sz w:val="22"/>
          <w:szCs w:val="22"/>
          <w:lang w:val="id-ID"/>
        </w:rPr>
      </w:pPr>
    </w:p>
    <w:p w:rsidR="00B94CA1" w:rsidRPr="00B94CA1" w:rsidRDefault="001E1FDC" w:rsidP="00B94CA1">
      <w:pPr>
        <w:pStyle w:val="HTMLPreformatted"/>
        <w:shd w:val="clear" w:color="auto" w:fill="FFFFFF"/>
        <w:jc w:val="both"/>
        <w:rPr>
          <w:rFonts w:ascii="Tahoma" w:hAnsi="Tahoma" w:cs="Tahoma"/>
          <w:sz w:val="22"/>
          <w:szCs w:val="22"/>
          <w:lang w:val="id-ID"/>
        </w:rPr>
      </w:pPr>
      <w:r w:rsidRPr="001E1FDC">
        <w:rPr>
          <w:rFonts w:ascii="Tahoma" w:hAnsi="Tahoma" w:cs="Tahoma"/>
          <w:b/>
          <w:sz w:val="22"/>
          <w:szCs w:val="22"/>
          <w:lang w:val="id-ID"/>
        </w:rPr>
        <w:t>Jakarta, Kementerian Lingkungan Hidup dan Kehutanan (</w:t>
      </w:r>
      <w:r>
        <w:rPr>
          <w:rFonts w:ascii="Tahoma" w:hAnsi="Tahoma" w:cs="Tahoma"/>
          <w:b/>
          <w:sz w:val="22"/>
          <w:szCs w:val="22"/>
          <w:lang w:val="id-ID"/>
        </w:rPr>
        <w:t xml:space="preserve">KLHK), </w:t>
      </w:r>
      <w:r w:rsidR="00330DDB">
        <w:rPr>
          <w:rFonts w:ascii="Tahoma" w:hAnsi="Tahoma" w:cs="Tahoma"/>
          <w:b/>
          <w:sz w:val="22"/>
          <w:szCs w:val="22"/>
          <w:lang w:val="id-ID"/>
        </w:rPr>
        <w:t>Kamis, 14</w:t>
      </w:r>
      <w:r>
        <w:rPr>
          <w:rFonts w:ascii="Tahoma" w:hAnsi="Tahoma" w:cs="Tahoma"/>
          <w:b/>
          <w:sz w:val="22"/>
          <w:szCs w:val="22"/>
          <w:lang w:val="id-ID"/>
        </w:rPr>
        <w:t xml:space="preserve"> Desember 2017. </w:t>
      </w:r>
      <w:r w:rsidR="00B94CA1" w:rsidRPr="00B94CA1">
        <w:rPr>
          <w:rFonts w:ascii="Tahoma" w:hAnsi="Tahoma" w:cs="Tahoma"/>
          <w:sz w:val="22"/>
          <w:szCs w:val="22"/>
          <w:lang w:val="id-ID"/>
        </w:rPr>
        <w:t xml:space="preserve">Direktur Pengendalian Kebakaran Hutan dan Lahan, KLHK, Raffles B. Panjaitan menekankan perlu adanya perubahan paradigma dalam mengelola Ijin Usaha Pemanfaatan Hasil Hutan (IUPHH) baik pada hutan alam maupun hutan tanaman di Indonesia terkait bidang kebakaran hutan dan lahan (karhutla). </w:t>
      </w:r>
    </w:p>
    <w:p w:rsidR="00B94CA1" w:rsidRPr="00B94CA1" w:rsidRDefault="00B94CA1" w:rsidP="00B94CA1">
      <w:pPr>
        <w:pStyle w:val="HTMLPreformatted"/>
        <w:shd w:val="clear" w:color="auto" w:fill="FFFFFF"/>
        <w:jc w:val="both"/>
        <w:rPr>
          <w:rFonts w:ascii="Tahoma" w:hAnsi="Tahoma" w:cs="Tahoma"/>
          <w:sz w:val="22"/>
          <w:szCs w:val="22"/>
          <w:lang w:val="id-ID"/>
        </w:rPr>
      </w:pPr>
    </w:p>
    <w:p w:rsidR="00B94CA1" w:rsidRPr="00B94CA1" w:rsidRDefault="00B94CA1" w:rsidP="00B94CA1">
      <w:pPr>
        <w:pStyle w:val="HTMLPreformatted"/>
        <w:shd w:val="clear" w:color="auto" w:fill="FFFFFF"/>
        <w:jc w:val="both"/>
        <w:rPr>
          <w:rFonts w:ascii="Tahoma" w:hAnsi="Tahoma" w:cs="Tahoma"/>
          <w:sz w:val="22"/>
          <w:szCs w:val="22"/>
          <w:lang w:val="id-ID"/>
        </w:rPr>
      </w:pPr>
      <w:r w:rsidRPr="00B94CA1">
        <w:rPr>
          <w:rFonts w:ascii="Tahoma" w:hAnsi="Tahoma" w:cs="Tahoma"/>
          <w:sz w:val="22"/>
          <w:szCs w:val="22"/>
          <w:lang w:val="id-ID"/>
        </w:rPr>
        <w:t xml:space="preserve">“Kegiatan masa lalu yang tidak terukur harus ditinggalkan dan mulai bekerja dengan pola-pola terukur dan fokus pada pencegahan”, tegas Raffles pada kegiatan Evaluasi Kegiatan Pengendalian Karhutla 2017 dan Menyusun Program Kerja 2018, dihadapan 33 perusahaan pemegang IUPHH di Jogjakarta, 11 – 12 Desember 2017. </w:t>
      </w:r>
    </w:p>
    <w:p w:rsidR="00B94CA1" w:rsidRPr="00B94CA1" w:rsidRDefault="00B94CA1" w:rsidP="00B94CA1">
      <w:pPr>
        <w:pStyle w:val="HTMLPreformatted"/>
        <w:shd w:val="clear" w:color="auto" w:fill="FFFFFF"/>
        <w:jc w:val="both"/>
        <w:rPr>
          <w:rFonts w:ascii="Tahoma" w:hAnsi="Tahoma" w:cs="Tahoma"/>
          <w:sz w:val="22"/>
          <w:szCs w:val="22"/>
          <w:lang w:val="id-ID"/>
        </w:rPr>
      </w:pPr>
    </w:p>
    <w:p w:rsidR="00B94CA1" w:rsidRPr="00B94CA1" w:rsidRDefault="00B94CA1" w:rsidP="00B94CA1">
      <w:pPr>
        <w:pStyle w:val="HTMLPreformatted"/>
        <w:shd w:val="clear" w:color="auto" w:fill="FFFFFF"/>
        <w:jc w:val="both"/>
        <w:rPr>
          <w:rFonts w:ascii="Tahoma" w:hAnsi="Tahoma" w:cs="Tahoma"/>
          <w:sz w:val="22"/>
          <w:szCs w:val="22"/>
          <w:lang w:val="id-ID"/>
        </w:rPr>
      </w:pPr>
      <w:r w:rsidRPr="00B94CA1">
        <w:rPr>
          <w:rFonts w:ascii="Tahoma" w:hAnsi="Tahoma" w:cs="Tahoma"/>
          <w:sz w:val="22"/>
          <w:szCs w:val="22"/>
          <w:lang w:val="id-ID"/>
        </w:rPr>
        <w:t xml:space="preserve">“Misalnya target pembentukan organisasi dalkarhutla seperti jumlah regu inti, regu perbantuan dan regu pendukung, target desa binaan, Masyarakat Peduli Api (MPA), peta rawan, frekuensi patroli, serta frekuensi kampanye”, jelas Raffles.  </w:t>
      </w:r>
    </w:p>
    <w:p w:rsidR="00B94CA1" w:rsidRPr="00B94CA1" w:rsidRDefault="00B94CA1" w:rsidP="00B94CA1">
      <w:pPr>
        <w:pStyle w:val="HTMLPreformatted"/>
        <w:shd w:val="clear" w:color="auto" w:fill="FFFFFF"/>
        <w:jc w:val="both"/>
        <w:rPr>
          <w:rFonts w:ascii="Tahoma" w:hAnsi="Tahoma" w:cs="Tahoma"/>
          <w:sz w:val="22"/>
          <w:szCs w:val="22"/>
          <w:lang w:val="id-ID"/>
        </w:rPr>
      </w:pPr>
    </w:p>
    <w:p w:rsidR="00B94CA1" w:rsidRDefault="00B94CA1" w:rsidP="00B94CA1">
      <w:pPr>
        <w:pStyle w:val="HTMLPreformatted"/>
        <w:shd w:val="clear" w:color="auto" w:fill="FFFFFF"/>
        <w:jc w:val="both"/>
        <w:rPr>
          <w:rFonts w:ascii="Tahoma" w:hAnsi="Tahoma" w:cs="Tahoma"/>
          <w:sz w:val="22"/>
          <w:szCs w:val="22"/>
          <w:lang w:val="id-ID"/>
        </w:rPr>
      </w:pPr>
      <w:r w:rsidRPr="00B94CA1">
        <w:rPr>
          <w:rFonts w:ascii="Tahoma" w:hAnsi="Tahoma" w:cs="Tahoma"/>
          <w:sz w:val="22"/>
          <w:szCs w:val="22"/>
          <w:lang w:val="id-ID"/>
        </w:rPr>
        <w:t xml:space="preserve">Saat ini, Masyarakat Peduli Api (MPA) telah dibentuk di desa rawan kebakaran hutan dan lahan di 25 provinsi dengan jumlah anggota 9.963 orang/664 regu. Selain itu, banyak lembaga pemerintah dan swasta yang telah melakukan pembuatan Bangunan Fisik Tata Air guna penanganan karhutla. Sampai dengan tahun 2017 telah terbangun sekat kanal sebanyak 15.636 unit, embung 2.581 unit, dan sumur bor 1.527 unit. </w:t>
      </w:r>
    </w:p>
    <w:p w:rsidR="00B94CA1" w:rsidRDefault="00B94CA1" w:rsidP="00B94CA1">
      <w:pPr>
        <w:pStyle w:val="HTMLPreformatted"/>
        <w:shd w:val="clear" w:color="auto" w:fill="FFFFFF"/>
        <w:jc w:val="both"/>
        <w:rPr>
          <w:rFonts w:ascii="Tahoma" w:hAnsi="Tahoma" w:cs="Tahoma"/>
          <w:sz w:val="22"/>
          <w:szCs w:val="22"/>
          <w:lang w:val="id-ID"/>
        </w:rPr>
      </w:pPr>
    </w:p>
    <w:p w:rsidR="00B94CA1" w:rsidRPr="00B94CA1" w:rsidRDefault="00B94CA1" w:rsidP="00B94CA1">
      <w:pPr>
        <w:pStyle w:val="HTMLPreformatted"/>
        <w:shd w:val="clear" w:color="auto" w:fill="FFFFFF"/>
        <w:jc w:val="both"/>
        <w:rPr>
          <w:rFonts w:ascii="Tahoma" w:hAnsi="Tahoma" w:cs="Tahoma"/>
          <w:sz w:val="22"/>
          <w:szCs w:val="22"/>
          <w:lang w:val="id-ID"/>
        </w:rPr>
      </w:pPr>
      <w:r w:rsidRPr="00B94CA1">
        <w:rPr>
          <w:rFonts w:ascii="Tahoma" w:hAnsi="Tahoma" w:cs="Tahoma"/>
          <w:sz w:val="22"/>
          <w:szCs w:val="22"/>
          <w:lang w:val="id-ID"/>
        </w:rPr>
        <w:t xml:space="preserve">Angka menunjukkan bahwa luas karhutla di areal konsesi jauh menurun dalam dua tahun terakhir. Hal ini menunjukkan peran dan kepedulian pemegang ijin usaha di bidang kehutanan dalam penanganan (karhutla) semakin meningkat. Secara teknik pengendalian kebakaran hutan dan lahan (karhutla) semakin tertata, yakni dengan ditetapkannya  tahapan manajemen meliputi tahap persiapan kelembagaan, infrastruktur, early warning and detection system, pencegahan, early/rapid respond, dan penanganan pasca karhutla. </w:t>
      </w:r>
    </w:p>
    <w:p w:rsidR="00B94CA1" w:rsidRPr="00B94CA1" w:rsidRDefault="00B94CA1" w:rsidP="00B94CA1">
      <w:pPr>
        <w:pStyle w:val="HTMLPreformatted"/>
        <w:shd w:val="clear" w:color="auto" w:fill="FFFFFF"/>
        <w:jc w:val="both"/>
        <w:rPr>
          <w:rFonts w:ascii="Tahoma" w:hAnsi="Tahoma" w:cs="Tahoma"/>
          <w:sz w:val="22"/>
          <w:szCs w:val="22"/>
          <w:lang w:val="id-ID"/>
        </w:rPr>
      </w:pPr>
    </w:p>
    <w:p w:rsidR="00B94CA1" w:rsidRPr="00B94CA1" w:rsidRDefault="00B94CA1" w:rsidP="00B94CA1">
      <w:pPr>
        <w:pStyle w:val="HTMLPreformatted"/>
        <w:shd w:val="clear" w:color="auto" w:fill="FFFFFF"/>
        <w:jc w:val="both"/>
        <w:rPr>
          <w:rFonts w:ascii="Tahoma" w:hAnsi="Tahoma" w:cs="Tahoma"/>
          <w:sz w:val="22"/>
          <w:szCs w:val="22"/>
          <w:lang w:val="id-ID"/>
        </w:rPr>
      </w:pPr>
      <w:r w:rsidRPr="00B94CA1">
        <w:rPr>
          <w:rFonts w:ascii="Tahoma" w:hAnsi="Tahoma" w:cs="Tahoma"/>
          <w:sz w:val="22"/>
          <w:szCs w:val="22"/>
          <w:lang w:val="id-ID"/>
        </w:rPr>
        <w:t xml:space="preserve">Dalam hal kemitraan bersama masyarakat, beberapa pemegang ijin telah memberikan inspirasi kepada yang lain dalam menjalankan program kemasyarakatan seperti pembentukan Desa Makmur Peduli Api, Program MHBM (Mengelola Hutan Bersama Masyarakat), dan implementasi perhutanan sosial. Selain itu juga dengan kampanye pencegahan melalui pemanfaatan jejaring sosial, turut serta menyebarkan maklumat-maklumat, fatwa MUI, dan himbauan-himbauan pencegahan karhutla lainnya. </w:t>
      </w:r>
    </w:p>
    <w:p w:rsidR="00B94CA1" w:rsidRPr="00B94CA1" w:rsidRDefault="00B94CA1" w:rsidP="00B94CA1">
      <w:pPr>
        <w:pStyle w:val="HTMLPreformatted"/>
        <w:shd w:val="clear" w:color="auto" w:fill="FFFFFF"/>
        <w:jc w:val="both"/>
        <w:rPr>
          <w:rFonts w:ascii="Tahoma" w:hAnsi="Tahoma" w:cs="Tahoma"/>
          <w:sz w:val="22"/>
          <w:szCs w:val="22"/>
          <w:lang w:val="id-ID"/>
        </w:rPr>
      </w:pPr>
    </w:p>
    <w:p w:rsidR="00B94CA1" w:rsidRPr="00B94CA1" w:rsidRDefault="00B94CA1" w:rsidP="00B94CA1">
      <w:pPr>
        <w:pStyle w:val="HTMLPreformatted"/>
        <w:shd w:val="clear" w:color="auto" w:fill="FFFFFF"/>
        <w:jc w:val="both"/>
        <w:rPr>
          <w:rFonts w:ascii="Tahoma" w:hAnsi="Tahoma" w:cs="Tahoma"/>
          <w:sz w:val="22"/>
          <w:szCs w:val="22"/>
          <w:lang w:val="id-ID"/>
        </w:rPr>
      </w:pPr>
      <w:r w:rsidRPr="00B94CA1">
        <w:rPr>
          <w:rFonts w:ascii="Tahoma" w:hAnsi="Tahoma" w:cs="Tahoma"/>
          <w:sz w:val="22"/>
          <w:szCs w:val="22"/>
          <w:lang w:val="id-ID"/>
        </w:rPr>
        <w:t>Kegiatan evaluasi ini merupakan langkah awal persiapan menghadapi tahun 2018 dalam rangka mendorong peran para pemegang ijin bidang kehutanan untuk memenuhi kewajibannya dalam penanganan karhutla.  Targetnya adalah tidak adanya karhutla di areal kerja IUPHH.</w:t>
      </w:r>
    </w:p>
    <w:p w:rsidR="00B94CA1" w:rsidRPr="00B94CA1" w:rsidRDefault="00B94CA1" w:rsidP="00B94CA1">
      <w:pPr>
        <w:pStyle w:val="HTMLPreformatted"/>
        <w:shd w:val="clear" w:color="auto" w:fill="FFFFFF"/>
        <w:jc w:val="both"/>
        <w:rPr>
          <w:rFonts w:ascii="Tahoma" w:hAnsi="Tahoma" w:cs="Tahoma"/>
          <w:sz w:val="22"/>
          <w:szCs w:val="22"/>
          <w:lang w:val="id-ID"/>
        </w:rPr>
      </w:pPr>
    </w:p>
    <w:p w:rsidR="00B94CA1" w:rsidRPr="00B94CA1" w:rsidRDefault="00B94CA1" w:rsidP="00B94CA1">
      <w:pPr>
        <w:pStyle w:val="HTMLPreformatted"/>
        <w:shd w:val="clear" w:color="auto" w:fill="FFFFFF"/>
        <w:jc w:val="both"/>
        <w:rPr>
          <w:rFonts w:ascii="Tahoma" w:hAnsi="Tahoma" w:cs="Tahoma"/>
          <w:sz w:val="22"/>
          <w:szCs w:val="22"/>
          <w:lang w:val="id-ID"/>
        </w:rPr>
      </w:pPr>
      <w:r w:rsidRPr="00B94CA1">
        <w:rPr>
          <w:rFonts w:ascii="Tahoma" w:hAnsi="Tahoma" w:cs="Tahoma"/>
          <w:sz w:val="22"/>
          <w:szCs w:val="22"/>
          <w:lang w:val="id-ID"/>
        </w:rPr>
        <w:t xml:space="preserve">Para peserta menyambut baik acara ini. Mereka merasakan ada proses pembelajaran diantara mereka. Sekaligus juga merasakan secara langsung adanya perhatian dan pembinaan dari Kementerian LHK dalam menghadapi karhutla di masa mendatang.  Pembelajaran itu terletak pada pemenuhan terhadap standar oraganisasi, SDM, sarana prasarana, standar kegiatan, dan strategi memperkuat kerjasama kemitraan dengan para pihak termasuk masyarakat.  </w:t>
      </w:r>
    </w:p>
    <w:p w:rsidR="00B94CA1" w:rsidRPr="00B94CA1" w:rsidRDefault="00B94CA1" w:rsidP="00B94CA1">
      <w:pPr>
        <w:pStyle w:val="HTMLPreformatted"/>
        <w:shd w:val="clear" w:color="auto" w:fill="FFFFFF"/>
        <w:jc w:val="both"/>
        <w:rPr>
          <w:rFonts w:ascii="Tahoma" w:hAnsi="Tahoma" w:cs="Tahoma"/>
          <w:sz w:val="22"/>
          <w:szCs w:val="22"/>
          <w:lang w:val="id-ID"/>
        </w:rPr>
      </w:pPr>
    </w:p>
    <w:p w:rsidR="00B94CA1" w:rsidRPr="00B94CA1" w:rsidRDefault="00B94CA1" w:rsidP="00B94CA1">
      <w:pPr>
        <w:pStyle w:val="HTMLPreformatted"/>
        <w:shd w:val="clear" w:color="auto" w:fill="FFFFFF"/>
        <w:jc w:val="both"/>
        <w:rPr>
          <w:rFonts w:ascii="Tahoma" w:hAnsi="Tahoma" w:cs="Tahoma"/>
          <w:sz w:val="22"/>
          <w:szCs w:val="22"/>
          <w:lang w:val="id-ID"/>
        </w:rPr>
      </w:pPr>
      <w:r w:rsidRPr="00B94CA1">
        <w:rPr>
          <w:rFonts w:ascii="Tahoma" w:hAnsi="Tahoma" w:cs="Tahoma"/>
          <w:sz w:val="22"/>
          <w:szCs w:val="22"/>
          <w:lang w:val="id-ID"/>
        </w:rPr>
        <w:lastRenderedPageBreak/>
        <w:t xml:space="preserve">“Rencana aksi yang dibuat tidak ada artinya jika tidak disertai dengan rencana penganggaran. Ini penting sehingga secara nasional kita memahami kekuatan untuk menghadapi karhutla tahun 2018 yang tentu tidak mudah dan ringan. Dua tahun terakhir ini kita bersama punya capaian yang gemilang, sehingga minimal harus dipertahankan bahkan ditingkatkan,” pungkas Raffles.  </w:t>
      </w:r>
    </w:p>
    <w:p w:rsidR="00B94CA1" w:rsidRPr="00B94CA1" w:rsidRDefault="00B94CA1" w:rsidP="00B94CA1">
      <w:pPr>
        <w:pStyle w:val="HTMLPreformatted"/>
        <w:shd w:val="clear" w:color="auto" w:fill="FFFFFF"/>
        <w:jc w:val="both"/>
        <w:rPr>
          <w:rFonts w:ascii="Tahoma" w:hAnsi="Tahoma" w:cs="Tahoma"/>
          <w:sz w:val="22"/>
          <w:szCs w:val="22"/>
          <w:lang w:val="id-ID"/>
        </w:rPr>
      </w:pPr>
    </w:p>
    <w:p w:rsidR="00B94CA1" w:rsidRPr="00B94CA1" w:rsidRDefault="00B94CA1" w:rsidP="00B94CA1">
      <w:pPr>
        <w:pStyle w:val="HTMLPreformatted"/>
        <w:shd w:val="clear" w:color="auto" w:fill="FFFFFF"/>
        <w:jc w:val="both"/>
        <w:rPr>
          <w:rFonts w:ascii="Tahoma" w:hAnsi="Tahoma" w:cs="Tahoma"/>
          <w:sz w:val="22"/>
          <w:szCs w:val="22"/>
          <w:lang w:val="id-ID"/>
        </w:rPr>
      </w:pPr>
      <w:r w:rsidRPr="00B94CA1">
        <w:rPr>
          <w:rFonts w:ascii="Tahoma" w:hAnsi="Tahoma" w:cs="Tahoma"/>
          <w:sz w:val="22"/>
          <w:szCs w:val="22"/>
          <w:lang w:val="id-ID"/>
        </w:rPr>
        <w:t xml:space="preserve">Sementara itu, Posko Pengendalian Kebakaran Hutan dan Lahan tetap memantau hotspot, pukul 21.00 WIB (13/12/2017), berdasarkan pantauan satelit NOAA terdapat dua hotspot yaitu di Provinsi Sulawesi Selatan dan Sulawesi Tenggara sedangkan pantauan satelit TERRA AQUA (NASA) terpantau delapan hotspot, enam titik di Provinsi Papua dan dua titik di Sulawesi Selatan. </w:t>
      </w:r>
    </w:p>
    <w:p w:rsidR="00B94CA1" w:rsidRPr="00B94CA1" w:rsidRDefault="00B94CA1" w:rsidP="00B94CA1">
      <w:pPr>
        <w:pStyle w:val="HTMLPreformatted"/>
        <w:shd w:val="clear" w:color="auto" w:fill="FFFFFF"/>
        <w:jc w:val="both"/>
        <w:rPr>
          <w:rFonts w:ascii="Tahoma" w:hAnsi="Tahoma" w:cs="Tahoma"/>
          <w:sz w:val="22"/>
          <w:szCs w:val="22"/>
          <w:lang w:val="id-ID"/>
        </w:rPr>
      </w:pPr>
    </w:p>
    <w:p w:rsidR="00B94CA1" w:rsidRPr="00B94CA1" w:rsidRDefault="00B94CA1" w:rsidP="00B94CA1">
      <w:pPr>
        <w:pStyle w:val="HTMLPreformatted"/>
        <w:shd w:val="clear" w:color="auto" w:fill="FFFFFF"/>
        <w:jc w:val="both"/>
        <w:rPr>
          <w:rFonts w:ascii="Tahoma" w:hAnsi="Tahoma" w:cs="Tahoma"/>
          <w:sz w:val="22"/>
          <w:szCs w:val="22"/>
          <w:lang w:val="id-ID"/>
        </w:rPr>
      </w:pPr>
      <w:r w:rsidRPr="00B94CA1">
        <w:rPr>
          <w:rFonts w:ascii="Tahoma" w:hAnsi="Tahoma" w:cs="Tahoma"/>
          <w:sz w:val="22"/>
          <w:szCs w:val="22"/>
          <w:lang w:val="id-ID"/>
        </w:rPr>
        <w:t>Dengan demikian, selama 1 Januari – 13 Desember 2017 berdasarkan satelit NOAA terdapat 2.567 titik, setelah tahun sebelumnya sebanyak 3.809 titik, sehingga terdapat penurunan jumlah hotspot sebanyak 1.242 titik (32,61 %).</w:t>
      </w:r>
    </w:p>
    <w:p w:rsidR="00B94CA1" w:rsidRPr="00B94CA1" w:rsidRDefault="00B94CA1" w:rsidP="00B94CA1">
      <w:pPr>
        <w:pStyle w:val="HTMLPreformatted"/>
        <w:shd w:val="clear" w:color="auto" w:fill="FFFFFF"/>
        <w:jc w:val="both"/>
        <w:rPr>
          <w:rFonts w:ascii="Tahoma" w:hAnsi="Tahoma" w:cs="Tahoma"/>
          <w:sz w:val="22"/>
          <w:szCs w:val="22"/>
          <w:lang w:val="id-ID"/>
        </w:rPr>
      </w:pPr>
    </w:p>
    <w:p w:rsidR="00B94CA1" w:rsidRPr="00B94CA1" w:rsidRDefault="00B94CA1" w:rsidP="00B94CA1">
      <w:pPr>
        <w:pStyle w:val="HTMLPreformatted"/>
        <w:shd w:val="clear" w:color="auto" w:fill="FFFFFF"/>
        <w:jc w:val="both"/>
        <w:rPr>
          <w:rFonts w:ascii="Tahoma" w:hAnsi="Tahoma" w:cs="Tahoma"/>
          <w:sz w:val="22"/>
          <w:szCs w:val="22"/>
          <w:lang w:val="id-ID"/>
        </w:rPr>
      </w:pPr>
      <w:r w:rsidRPr="00B94CA1">
        <w:rPr>
          <w:rFonts w:ascii="Tahoma" w:hAnsi="Tahoma" w:cs="Tahoma"/>
          <w:sz w:val="22"/>
          <w:szCs w:val="22"/>
          <w:lang w:val="id-ID"/>
        </w:rPr>
        <w:t>Sedangkan total 2.380 titik ditunjukkan Satelit Terra/Aqua (NASA) Conf. Level ≥80%, setelah tahun 2016 lalu menunjukkan 3.830 titik, sehingga saat ini menurun sebanyak 1.450 titik (37,86 %).(*)</w:t>
      </w:r>
    </w:p>
    <w:p w:rsidR="001265E2" w:rsidRPr="00B94CA1" w:rsidRDefault="001265E2" w:rsidP="00B94CA1">
      <w:pPr>
        <w:pStyle w:val="HTMLPreformatted"/>
        <w:shd w:val="clear" w:color="auto" w:fill="FFFFFF"/>
        <w:jc w:val="both"/>
        <w:rPr>
          <w:rFonts w:ascii="Tahoma" w:hAnsi="Tahoma" w:cs="Tahoma"/>
          <w:sz w:val="22"/>
          <w:szCs w:val="22"/>
          <w:lang w:val="id-ID"/>
        </w:rPr>
      </w:pPr>
    </w:p>
    <w:p w:rsidR="001265E2" w:rsidRDefault="001265E2" w:rsidP="001E1FDC">
      <w:pPr>
        <w:pStyle w:val="HTMLPreformatted"/>
        <w:shd w:val="clear" w:color="auto" w:fill="FFFFFF"/>
        <w:jc w:val="both"/>
        <w:rPr>
          <w:rFonts w:ascii="Tahoma" w:hAnsi="Tahoma" w:cs="Tahoma"/>
          <w:b/>
          <w:sz w:val="22"/>
          <w:szCs w:val="22"/>
          <w:lang w:val="id-ID"/>
        </w:rPr>
      </w:pPr>
    </w:p>
    <w:p w:rsidR="001E1FDC" w:rsidRPr="00CE1582" w:rsidRDefault="001E1FDC" w:rsidP="001E1FDC">
      <w:pPr>
        <w:pStyle w:val="HTMLPreformatted"/>
        <w:shd w:val="clear" w:color="auto" w:fill="FFFFFF"/>
        <w:jc w:val="both"/>
        <w:rPr>
          <w:rFonts w:ascii="Tahoma" w:hAnsi="Tahoma" w:cs="Tahoma"/>
          <w:b/>
          <w:sz w:val="22"/>
          <w:szCs w:val="22"/>
          <w:lang w:val="id-ID"/>
        </w:rPr>
      </w:pPr>
      <w:r w:rsidRPr="00CE1582">
        <w:rPr>
          <w:rFonts w:ascii="Tahoma" w:hAnsi="Tahoma" w:cs="Tahoma"/>
          <w:b/>
          <w:sz w:val="22"/>
          <w:szCs w:val="22"/>
          <w:lang w:val="id-ID"/>
        </w:rPr>
        <w:t>Penanggung jawab berita:</w:t>
      </w:r>
    </w:p>
    <w:p w:rsidR="001E1FDC" w:rsidRPr="00CE1582" w:rsidRDefault="001E1FDC" w:rsidP="001E1FDC">
      <w:pPr>
        <w:pStyle w:val="HTMLPreformatted"/>
        <w:shd w:val="clear" w:color="auto" w:fill="FFFFFF"/>
        <w:jc w:val="both"/>
        <w:rPr>
          <w:rFonts w:ascii="Tahoma" w:hAnsi="Tahoma" w:cs="Tahoma"/>
          <w:sz w:val="22"/>
          <w:szCs w:val="22"/>
          <w:lang w:val="id-ID"/>
        </w:rPr>
      </w:pPr>
      <w:r w:rsidRPr="00CE1582">
        <w:rPr>
          <w:rFonts w:ascii="Tahoma" w:hAnsi="Tahoma" w:cs="Tahoma"/>
          <w:sz w:val="22"/>
          <w:szCs w:val="22"/>
          <w:lang w:val="id-ID"/>
        </w:rPr>
        <w:t>Kepala Biro Humas Kementerian Lingkungan Hidup dan Kehutanan,</w:t>
      </w:r>
    </w:p>
    <w:p w:rsidR="00F220B1" w:rsidRPr="00330DDB" w:rsidRDefault="001E1FDC" w:rsidP="00330DDB">
      <w:pPr>
        <w:pStyle w:val="HTMLPreformatted"/>
        <w:shd w:val="clear" w:color="auto" w:fill="FFFFFF"/>
        <w:jc w:val="both"/>
        <w:rPr>
          <w:rFonts w:ascii="Tahoma" w:hAnsi="Tahoma" w:cs="Tahoma"/>
          <w:sz w:val="22"/>
          <w:szCs w:val="22"/>
          <w:lang w:val="id-ID"/>
        </w:rPr>
      </w:pPr>
      <w:r w:rsidRPr="00CE1582">
        <w:rPr>
          <w:rFonts w:ascii="Tahoma" w:hAnsi="Tahoma" w:cs="Tahoma"/>
          <w:sz w:val="22"/>
          <w:szCs w:val="22"/>
          <w:lang w:val="id-ID"/>
        </w:rPr>
        <w:t>Djati Witjaksono Hadi – 081375633330</w:t>
      </w:r>
    </w:p>
    <w:sectPr w:rsidR="00F220B1" w:rsidRPr="00330DDB" w:rsidSect="00F220B1">
      <w:pgSz w:w="11906" w:h="16838"/>
      <w:pgMar w:top="86" w:right="1138" w:bottom="720" w:left="113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6A61F6"/>
    <w:multiLevelType w:val="hybridMultilevel"/>
    <w:tmpl w:val="040CB9B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FDC"/>
    <w:rsid w:val="00096424"/>
    <w:rsid w:val="001265E2"/>
    <w:rsid w:val="001D3AD5"/>
    <w:rsid w:val="001E1FDC"/>
    <w:rsid w:val="002F7BD2"/>
    <w:rsid w:val="00330DDB"/>
    <w:rsid w:val="00343D9E"/>
    <w:rsid w:val="004A1CF7"/>
    <w:rsid w:val="00597D37"/>
    <w:rsid w:val="00644C4E"/>
    <w:rsid w:val="00911027"/>
    <w:rsid w:val="00B94CA1"/>
    <w:rsid w:val="00C62F85"/>
    <w:rsid w:val="00D54696"/>
    <w:rsid w:val="00E603DA"/>
    <w:rsid w:val="00E70763"/>
    <w:rsid w:val="00F220B1"/>
    <w:rsid w:val="00F5618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FD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1E1FDC"/>
    <w:pPr>
      <w:spacing w:after="0" w:line="240" w:lineRule="auto"/>
      <w:jc w:val="center"/>
    </w:pPr>
    <w:rPr>
      <w:rFonts w:ascii="Times New Roman" w:eastAsia="Times New Roman" w:hAnsi="Times New Roman"/>
      <w:sz w:val="36"/>
      <w:szCs w:val="24"/>
      <w:lang w:val="x-none" w:eastAsia="x-none"/>
    </w:rPr>
  </w:style>
  <w:style w:type="character" w:customStyle="1" w:styleId="TitleChar">
    <w:name w:val="Title Char"/>
    <w:basedOn w:val="DefaultParagraphFont"/>
    <w:link w:val="Title"/>
    <w:uiPriority w:val="10"/>
    <w:rsid w:val="001E1FDC"/>
    <w:rPr>
      <w:rFonts w:ascii="Times New Roman" w:eastAsia="Times New Roman" w:hAnsi="Times New Roman" w:cs="Times New Roman"/>
      <w:sz w:val="36"/>
      <w:szCs w:val="24"/>
      <w:lang w:val="x-none" w:eastAsia="x-none"/>
    </w:rPr>
  </w:style>
  <w:style w:type="paragraph" w:styleId="NoSpacing">
    <w:name w:val="No Spacing"/>
    <w:uiPriority w:val="1"/>
    <w:qFormat/>
    <w:rsid w:val="001E1FDC"/>
    <w:pPr>
      <w:spacing w:after="0" w:line="240" w:lineRule="auto"/>
    </w:pPr>
    <w:rPr>
      <w:rFonts w:ascii="Calibri" w:eastAsia="Calibri" w:hAnsi="Calibri" w:cs="Times New Roman"/>
    </w:rPr>
  </w:style>
  <w:style w:type="paragraph" w:styleId="HTMLPreformatted">
    <w:name w:val="HTML Preformatted"/>
    <w:basedOn w:val="Normal"/>
    <w:link w:val="HTMLPreformattedChar"/>
    <w:uiPriority w:val="99"/>
    <w:unhideWhenUsed/>
    <w:rsid w:val="001E1F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1E1FDC"/>
    <w:rPr>
      <w:rFonts w:ascii="Courier New" w:eastAsia="Times New Roman" w:hAnsi="Courier New" w:cs="Courier New"/>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FD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1E1FDC"/>
    <w:pPr>
      <w:spacing w:after="0" w:line="240" w:lineRule="auto"/>
      <w:jc w:val="center"/>
    </w:pPr>
    <w:rPr>
      <w:rFonts w:ascii="Times New Roman" w:eastAsia="Times New Roman" w:hAnsi="Times New Roman"/>
      <w:sz w:val="36"/>
      <w:szCs w:val="24"/>
      <w:lang w:val="x-none" w:eastAsia="x-none"/>
    </w:rPr>
  </w:style>
  <w:style w:type="character" w:customStyle="1" w:styleId="TitleChar">
    <w:name w:val="Title Char"/>
    <w:basedOn w:val="DefaultParagraphFont"/>
    <w:link w:val="Title"/>
    <w:uiPriority w:val="10"/>
    <w:rsid w:val="001E1FDC"/>
    <w:rPr>
      <w:rFonts w:ascii="Times New Roman" w:eastAsia="Times New Roman" w:hAnsi="Times New Roman" w:cs="Times New Roman"/>
      <w:sz w:val="36"/>
      <w:szCs w:val="24"/>
      <w:lang w:val="x-none" w:eastAsia="x-none"/>
    </w:rPr>
  </w:style>
  <w:style w:type="paragraph" w:styleId="NoSpacing">
    <w:name w:val="No Spacing"/>
    <w:uiPriority w:val="1"/>
    <w:qFormat/>
    <w:rsid w:val="001E1FDC"/>
    <w:pPr>
      <w:spacing w:after="0" w:line="240" w:lineRule="auto"/>
    </w:pPr>
    <w:rPr>
      <w:rFonts w:ascii="Calibri" w:eastAsia="Calibri" w:hAnsi="Calibri" w:cs="Times New Roman"/>
    </w:rPr>
  </w:style>
  <w:style w:type="paragraph" w:styleId="HTMLPreformatted">
    <w:name w:val="HTML Preformatted"/>
    <w:basedOn w:val="Normal"/>
    <w:link w:val="HTMLPreformattedChar"/>
    <w:uiPriority w:val="99"/>
    <w:unhideWhenUsed/>
    <w:rsid w:val="001E1F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1E1FDC"/>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258</TotalTime>
  <Pages>2</Pages>
  <Words>687</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1</cp:revision>
  <dcterms:created xsi:type="dcterms:W3CDTF">2017-12-13T22:41:00Z</dcterms:created>
  <dcterms:modified xsi:type="dcterms:W3CDTF">2017-12-14T03:19:00Z</dcterms:modified>
</cp:coreProperties>
</file>